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14520" w14:textId="77777777" w:rsidR="005B1851" w:rsidRPr="00AA264C" w:rsidRDefault="005B1851" w:rsidP="005B1851">
      <w:pPr>
        <w:rPr>
          <w:rFonts w:ascii="Arial" w:hAnsi="Arial" w:cs="Arial"/>
          <w:sz w:val="30"/>
          <w:szCs w:val="30"/>
        </w:rPr>
      </w:pPr>
      <w:r w:rsidRPr="00AA264C">
        <w:rPr>
          <w:rStyle w:val="a4"/>
          <w:rFonts w:ascii="Arial" w:hAnsi="Arial" w:cs="Arial"/>
          <w:kern w:val="0"/>
          <w:sz w:val="30"/>
          <w:szCs w:val="30"/>
        </w:rPr>
        <w:t>ESG</w:t>
      </w:r>
      <w:r w:rsidRPr="00AA264C">
        <w:rPr>
          <w:rFonts w:ascii="Arial" w:hAnsi="Arial" w:cs="Arial" w:hint="eastAsia"/>
          <w:sz w:val="30"/>
          <w:szCs w:val="30"/>
        </w:rPr>
        <w:t>綱要：</w:t>
      </w:r>
    </w:p>
    <w:p w14:paraId="72B5C539" w14:textId="77777777" w:rsidR="005B1851" w:rsidRDefault="005B1851" w:rsidP="005B1851">
      <w:pPr>
        <w:rPr>
          <w:rFonts w:ascii="Arial" w:hAnsi="Arial" w:cs="Arial"/>
        </w:rPr>
      </w:pPr>
      <w:r>
        <w:rPr>
          <w:rFonts w:ascii="Arial" w:hAnsi="Arial" w:cs="Arial" w:hint="eastAsia"/>
        </w:rPr>
        <w:t>本友善藝術駐村計畫結合</w:t>
      </w:r>
      <w:r>
        <w:rPr>
          <w:rStyle w:val="a4"/>
          <w:rFonts w:ascii="Arial" w:hAnsi="Arial" w:cs="Arial"/>
        </w:rPr>
        <w:t>ESG</w:t>
      </w:r>
      <w:r>
        <w:rPr>
          <w:rStyle w:val="a4"/>
          <w:rFonts w:ascii="Arial" w:hAnsi="Arial" w:cs="Arial" w:hint="eastAsia"/>
        </w:rPr>
        <w:t>低碳綠色環境</w:t>
      </w:r>
      <w:r>
        <w:rPr>
          <w:rFonts w:ascii="Arial" w:hAnsi="Arial" w:cs="Arial" w:hint="eastAsia"/>
        </w:rPr>
        <w:t>、</w:t>
      </w:r>
      <w:r>
        <w:rPr>
          <w:rStyle w:val="a4"/>
          <w:rFonts w:ascii="Arial" w:hAnsi="Arial" w:cs="Arial" w:hint="eastAsia"/>
        </w:rPr>
        <w:t>社會非營利團體</w:t>
      </w:r>
      <w:r>
        <w:rPr>
          <w:rFonts w:ascii="Arial" w:hAnsi="Arial" w:cs="Arial" w:hint="eastAsia"/>
        </w:rPr>
        <w:t>與</w:t>
      </w:r>
      <w:r>
        <w:rPr>
          <w:rStyle w:val="a4"/>
          <w:rFonts w:ascii="Arial" w:hAnsi="Arial" w:cs="Arial" w:hint="eastAsia"/>
        </w:rPr>
        <w:t>多元企業社會共融</w:t>
      </w:r>
      <w:r>
        <w:rPr>
          <w:rFonts w:ascii="Arial" w:hAnsi="Arial" w:cs="Arial" w:hint="eastAsia"/>
        </w:rPr>
        <w:t>，透過資源共有共享共榮機制，將文創與公共藝術導入場域，達成永續發展決策目標。</w:t>
      </w:r>
    </w:p>
    <w:p w14:paraId="425C0B6D" w14:textId="77777777" w:rsidR="005B1851" w:rsidRDefault="005B1851" w:rsidP="005B1851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 w:hint="eastAsia"/>
          <w:b/>
          <w:bCs/>
          <w:sz w:val="30"/>
          <w:szCs w:val="30"/>
        </w:rPr>
        <w:t>計畫核心宗旨與願景</w:t>
      </w:r>
    </w:p>
    <w:p w14:paraId="602F27D7" w14:textId="77777777" w:rsidR="005B1851" w:rsidRDefault="00C30324" w:rsidP="005B1851">
      <w:pPr>
        <w:widowControl/>
        <w:rPr>
          <w:rFonts w:ascii="Arial" w:hAnsi="Arial" w:cs="Arial"/>
          <w:szCs w:val="24"/>
        </w:rPr>
      </w:pPr>
      <w:r>
        <w:rPr>
          <w:rStyle w:val="inqyif"/>
          <w:rFonts w:ascii="Arial" w:hAnsi="Arial" w:cs="Arial" w:hint="eastAsia"/>
        </w:rPr>
        <w:t>●</w:t>
      </w:r>
      <w:r w:rsidR="005B1851">
        <w:rPr>
          <w:rStyle w:val="inqyif"/>
          <w:rFonts w:ascii="Arial" w:hAnsi="Arial" w:cs="Arial" w:hint="eastAsia"/>
        </w:rPr>
        <w:t>實踐藝術文創共有、共享、共榮。</w:t>
      </w:r>
    </w:p>
    <w:p w14:paraId="0C185BBE" w14:textId="77777777" w:rsidR="005B1851" w:rsidRDefault="00C30324" w:rsidP="005B1851">
      <w:pPr>
        <w:widowControl/>
        <w:rPr>
          <w:rFonts w:ascii="Arial" w:hAnsi="Arial" w:cs="Arial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5B1851">
        <w:rPr>
          <w:rStyle w:val="inqyif"/>
          <w:rFonts w:ascii="Arial" w:hAnsi="Arial" w:cs="Arial" w:hint="eastAsia"/>
        </w:rPr>
        <w:t>導入</w:t>
      </w:r>
      <w:r w:rsidR="005B1851">
        <w:rPr>
          <w:rStyle w:val="inqyif"/>
          <w:rFonts w:ascii="Arial" w:hAnsi="Arial" w:cs="Arial"/>
        </w:rPr>
        <w:t>ESG</w:t>
      </w:r>
      <w:r w:rsidR="005B1851">
        <w:rPr>
          <w:rStyle w:val="inqyif"/>
          <w:rFonts w:ascii="Arial" w:hAnsi="Arial" w:cs="Arial" w:hint="eastAsia"/>
        </w:rPr>
        <w:t>低碳與綠色環境指標。</w:t>
      </w:r>
    </w:p>
    <w:p w14:paraId="1D844C6F" w14:textId="77777777" w:rsidR="005B1851" w:rsidRDefault="00C30324" w:rsidP="005B1851">
      <w:pPr>
        <w:widowControl/>
        <w:rPr>
          <w:rFonts w:ascii="Arial" w:hAnsi="Arial" w:cs="Arial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5B1851">
        <w:rPr>
          <w:rStyle w:val="inqyif"/>
          <w:rFonts w:ascii="Arial" w:hAnsi="Arial" w:cs="Arial" w:hint="eastAsia"/>
        </w:rPr>
        <w:t>串聯社會非營利團體與企業資源。</w:t>
      </w:r>
    </w:p>
    <w:p w14:paraId="777511F1" w14:textId="77777777" w:rsidR="005B1851" w:rsidRDefault="005B1851" w:rsidP="005B1851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ESG</w:t>
      </w:r>
      <w:r>
        <w:rPr>
          <w:rFonts w:ascii="Arial" w:hAnsi="Arial" w:cs="Arial" w:hint="eastAsia"/>
          <w:b/>
          <w:bCs/>
          <w:sz w:val="30"/>
          <w:szCs w:val="30"/>
        </w:rPr>
        <w:t>低碳綠色與環境永續策略</w:t>
      </w:r>
    </w:p>
    <w:p w14:paraId="613E3FA9" w14:textId="77777777" w:rsidR="005B1851" w:rsidRDefault="00C30324" w:rsidP="005B1851">
      <w:pPr>
        <w:widowControl/>
        <w:rPr>
          <w:rFonts w:ascii="Arial" w:hAnsi="Arial" w:cs="Arial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5B1851">
        <w:rPr>
          <w:rStyle w:val="inqyif"/>
          <w:rFonts w:ascii="Arial" w:hAnsi="Arial" w:cs="Arial" w:hint="eastAsia"/>
        </w:rPr>
        <w:t>使用再生環保素材進行公共藝術創作。</w:t>
      </w:r>
    </w:p>
    <w:p w14:paraId="2C1D3300" w14:textId="77777777" w:rsidR="005B1851" w:rsidRDefault="00C30324" w:rsidP="005B1851">
      <w:pPr>
        <w:widowControl/>
        <w:rPr>
          <w:rFonts w:ascii="Arial" w:hAnsi="Arial" w:cs="Arial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5B1851">
        <w:rPr>
          <w:rStyle w:val="inqyif"/>
          <w:rFonts w:ascii="Arial" w:hAnsi="Arial" w:cs="Arial" w:hint="eastAsia"/>
        </w:rPr>
        <w:t>降低駐村與展演過程中的碳足跡。</w:t>
      </w:r>
    </w:p>
    <w:p w14:paraId="773A6375" w14:textId="77777777" w:rsidR="005B1851" w:rsidRDefault="00C30324" w:rsidP="005B1851">
      <w:pPr>
        <w:widowControl/>
        <w:rPr>
          <w:rFonts w:ascii="Arial" w:hAnsi="Arial" w:cs="Arial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5B1851">
        <w:rPr>
          <w:rStyle w:val="inqyif"/>
          <w:rFonts w:ascii="Arial" w:hAnsi="Arial" w:cs="Arial" w:hint="eastAsia"/>
        </w:rPr>
        <w:t>結合在地生態水文與環境教育對話。</w:t>
      </w:r>
    </w:p>
    <w:p w14:paraId="16068541" w14:textId="77777777" w:rsidR="005B1851" w:rsidRDefault="005B1851" w:rsidP="005B1851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 w:hint="eastAsia"/>
          <w:b/>
          <w:bCs/>
          <w:sz w:val="30"/>
          <w:szCs w:val="30"/>
        </w:rPr>
        <w:t>社會共融與跨界合作機制</w:t>
      </w:r>
    </w:p>
    <w:p w14:paraId="1332CAEF" w14:textId="77777777" w:rsidR="005B1851" w:rsidRDefault="00C30324" w:rsidP="005B1851">
      <w:pPr>
        <w:widowControl/>
        <w:rPr>
          <w:rFonts w:ascii="Arial" w:hAnsi="Arial" w:cs="Arial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5B1851">
        <w:rPr>
          <w:rStyle w:val="inqyif"/>
          <w:rFonts w:ascii="Arial" w:hAnsi="Arial" w:cs="Arial" w:hint="eastAsia"/>
        </w:rPr>
        <w:t>導入非營利團體促進弱勢與多元族群參與。</w:t>
      </w:r>
    </w:p>
    <w:p w14:paraId="1E9FEEC5" w14:textId="77777777" w:rsidR="005B1851" w:rsidRDefault="00C30324" w:rsidP="005B1851">
      <w:pPr>
        <w:widowControl/>
        <w:rPr>
          <w:rFonts w:ascii="Arial" w:hAnsi="Arial" w:cs="Arial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5B1851">
        <w:rPr>
          <w:rStyle w:val="inqyif"/>
          <w:rFonts w:ascii="Arial" w:hAnsi="Arial" w:cs="Arial" w:hint="eastAsia"/>
        </w:rPr>
        <w:t>結合企業社會責任（</w:t>
      </w:r>
      <w:r w:rsidR="005B1851">
        <w:rPr>
          <w:rStyle w:val="inqyif"/>
          <w:rFonts w:ascii="Arial" w:hAnsi="Arial" w:cs="Arial"/>
        </w:rPr>
        <w:t>CSR/ESG</w:t>
      </w:r>
      <w:r w:rsidR="005B1851">
        <w:rPr>
          <w:rStyle w:val="inqyif"/>
          <w:rFonts w:ascii="Arial" w:hAnsi="Arial" w:cs="Arial" w:hint="eastAsia"/>
        </w:rPr>
        <w:t>）投入資源。</w:t>
      </w:r>
    </w:p>
    <w:p w14:paraId="7897BB07" w14:textId="77777777" w:rsidR="005B1851" w:rsidRDefault="00C30324" w:rsidP="005B1851">
      <w:pPr>
        <w:widowControl/>
        <w:rPr>
          <w:rFonts w:ascii="Arial" w:hAnsi="Arial" w:cs="Arial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5B1851">
        <w:rPr>
          <w:rStyle w:val="inqyif"/>
          <w:rFonts w:ascii="Arial" w:hAnsi="Arial" w:cs="Arial" w:hint="eastAsia"/>
        </w:rPr>
        <w:t>建立藝術家、社區與企業的三方共治平台。</w:t>
      </w:r>
    </w:p>
    <w:p w14:paraId="6FEEF5F9" w14:textId="77777777" w:rsidR="005B1851" w:rsidRDefault="005B1851" w:rsidP="005B1851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 w:hint="eastAsia"/>
          <w:b/>
          <w:bCs/>
          <w:sz w:val="30"/>
          <w:szCs w:val="30"/>
        </w:rPr>
        <w:t>預期效益與決策評估</w:t>
      </w:r>
    </w:p>
    <w:p w14:paraId="3D5F4A2B" w14:textId="77777777" w:rsidR="005B1851" w:rsidRDefault="00C30324" w:rsidP="005B1851">
      <w:pPr>
        <w:widowControl/>
        <w:rPr>
          <w:rFonts w:ascii="Arial" w:hAnsi="Arial" w:cs="Arial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5B1851">
        <w:rPr>
          <w:rStyle w:val="inqyif"/>
          <w:rFonts w:ascii="Arial" w:hAnsi="Arial" w:cs="Arial" w:hint="eastAsia"/>
        </w:rPr>
        <w:t>提升企業</w:t>
      </w:r>
      <w:r w:rsidR="005B1851">
        <w:rPr>
          <w:rStyle w:val="inqyif"/>
          <w:rFonts w:ascii="Arial" w:hAnsi="Arial" w:cs="Arial"/>
        </w:rPr>
        <w:t>ESG</w:t>
      </w:r>
      <w:r w:rsidR="005B1851">
        <w:rPr>
          <w:rStyle w:val="inqyif"/>
          <w:rFonts w:ascii="Arial" w:hAnsi="Arial" w:cs="Arial" w:hint="eastAsia"/>
        </w:rPr>
        <w:t>永續評鑑實質貢獻度。</w:t>
      </w:r>
    </w:p>
    <w:p w14:paraId="0BAD1F14" w14:textId="77777777" w:rsidR="005B1851" w:rsidRDefault="00C30324" w:rsidP="005B1851">
      <w:pPr>
        <w:widowControl/>
        <w:rPr>
          <w:rFonts w:ascii="Arial" w:hAnsi="Arial" w:cs="Arial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5B1851">
        <w:rPr>
          <w:rStyle w:val="inqyif"/>
          <w:rFonts w:ascii="Arial" w:hAnsi="Arial" w:cs="Arial" w:hint="eastAsia"/>
        </w:rPr>
        <w:t>創造在地文化經濟與地方創生價值。</w:t>
      </w:r>
    </w:p>
    <w:p w14:paraId="0B8DF260" w14:textId="77777777" w:rsidR="005B1851" w:rsidRDefault="00C30324" w:rsidP="005B1851">
      <w:pPr>
        <w:widowControl/>
        <w:rPr>
          <w:rFonts w:ascii="Arial" w:hAnsi="Arial" w:cs="Arial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5B1851">
        <w:rPr>
          <w:rStyle w:val="inqyif"/>
          <w:rFonts w:ascii="Arial" w:hAnsi="Arial" w:cs="Arial" w:hint="eastAsia"/>
        </w:rPr>
        <w:t>打造兼具公共性與美學的共融空間。</w:t>
      </w:r>
    </w:p>
    <w:p w14:paraId="5F97F183" w14:textId="77777777" w:rsidR="005B1851" w:rsidRDefault="005B1851" w:rsidP="005B1851">
      <w:pPr>
        <w:rPr>
          <w:rStyle w:val="inqyif"/>
        </w:rPr>
      </w:pPr>
      <w:r>
        <w:rPr>
          <w:rStyle w:val="inqyif"/>
          <w:rFonts w:ascii="Arial" w:hAnsi="Arial" w:cs="Arial"/>
        </w:rPr>
        <w:t xml:space="preserve">Explore a detailed overview of green art actions by the </w:t>
      </w:r>
      <w:hyperlink r:id="rId4" w:history="1">
        <w:r>
          <w:rPr>
            <w:rStyle w:val="a3"/>
          </w:rPr>
          <w:t>https://www.facebook.com/momoartxdesign/?locale=zh_TW</w:t>
        </w:r>
      </w:hyperlink>
      <w:r>
        <w:rPr>
          <w:rStyle w:val="inqyif"/>
        </w:rPr>
        <w:t>.</w:t>
      </w:r>
    </w:p>
    <w:p w14:paraId="631927F9" w14:textId="77777777" w:rsidR="005B1851" w:rsidRDefault="005B1851" w:rsidP="005B1851">
      <w:pPr>
        <w:widowControl/>
        <w:rPr>
          <w:rFonts w:ascii="Arial" w:hAnsi="Arial" w:cs="Arial"/>
        </w:rPr>
      </w:pPr>
      <w:r>
        <w:rPr>
          <w:rStyle w:val="inqyif"/>
          <w:rFonts w:ascii="Arial" w:hAnsi="Arial" w:cs="Arial"/>
        </w:rPr>
        <w:t xml:space="preserve">Review community art space perspectives via the </w:t>
      </w:r>
      <w:hyperlink r:id="rId5" w:tgtFrame="_blank" w:history="1">
        <w:r>
          <w:rPr>
            <w:rStyle w:val="a3"/>
            <w:rFonts w:ascii="Arial" w:hAnsi="Arial" w:cs="Arial"/>
            <w:b/>
            <w:bCs/>
          </w:rPr>
          <w:t>Taiwan Art Space Alliance</w:t>
        </w:r>
      </w:hyperlink>
      <w:r>
        <w:rPr>
          <w:rStyle w:val="inqyif"/>
          <w:rFonts w:ascii="Arial" w:hAnsi="Arial" w:cs="Arial"/>
        </w:rPr>
        <w:t>.</w:t>
      </w:r>
    </w:p>
    <w:p w14:paraId="571F5F2F" w14:textId="77777777" w:rsidR="005B1851" w:rsidRDefault="005B1851" w:rsidP="005B1851">
      <w:pPr>
        <w:widowControl/>
        <w:rPr>
          <w:rFonts w:ascii="Arial" w:hAnsi="Arial" w:cs="Arial"/>
        </w:rPr>
      </w:pPr>
      <w:r>
        <w:rPr>
          <w:rStyle w:val="inqyif"/>
          <w:rFonts w:ascii="Arial" w:hAnsi="Arial" w:cs="Arial"/>
        </w:rPr>
        <w:t xml:space="preserve">Check craft and ESG cooperation models from the </w:t>
      </w:r>
      <w:hyperlink r:id="rId6" w:tgtFrame="_blank" w:history="1">
        <w:r>
          <w:rPr>
            <w:rStyle w:val="a3"/>
            <w:rFonts w:ascii="Arial" w:hAnsi="Arial" w:cs="Arial"/>
            <w:b/>
            <w:bCs/>
          </w:rPr>
          <w:t>Ministry of Culture</w:t>
        </w:r>
      </w:hyperlink>
      <w:r>
        <w:rPr>
          <w:rStyle w:val="inqyif"/>
          <w:rFonts w:ascii="Arial" w:hAnsi="Arial" w:cs="Arial"/>
        </w:rPr>
        <w:t>.</w:t>
      </w:r>
    </w:p>
    <w:p w14:paraId="69938535" w14:textId="77777777" w:rsidR="009D7409" w:rsidRPr="005B1851" w:rsidRDefault="009D7409"/>
    <w:sectPr w:rsidR="009D7409" w:rsidRPr="005B1851" w:rsidSect="006C4CDD">
      <w:pgSz w:w="11906" w:h="16838"/>
      <w:pgMar w:top="993" w:right="849" w:bottom="1440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851"/>
    <w:rsid w:val="00033017"/>
    <w:rsid w:val="005B1851"/>
    <w:rsid w:val="006C4CDD"/>
    <w:rsid w:val="008B3710"/>
    <w:rsid w:val="009D7409"/>
    <w:rsid w:val="00A56813"/>
    <w:rsid w:val="00AA264C"/>
    <w:rsid w:val="00C3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43C04"/>
  <w15:docId w15:val="{8A645463-F618-473A-8AF5-38EAC1D07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5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B1851"/>
    <w:rPr>
      <w:color w:val="0000FF" w:themeColor="hyperlink"/>
      <w:u w:val="single"/>
    </w:rPr>
  </w:style>
  <w:style w:type="character" w:customStyle="1" w:styleId="inqyif">
    <w:name w:val="inqyif"/>
    <w:basedOn w:val="a0"/>
    <w:rsid w:val="005B1851"/>
  </w:style>
  <w:style w:type="character" w:styleId="a4">
    <w:name w:val="Strong"/>
    <w:basedOn w:val="a0"/>
    <w:uiPriority w:val="22"/>
    <w:qFormat/>
    <w:rsid w:val="005B18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7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c.gov.tw/News_Content.aspx?n=105&amp;s=257632" TargetMode="External"/><Relationship Id="rId5" Type="http://schemas.openxmlformats.org/officeDocument/2006/relationships/hyperlink" Target="https://tasa-tw.org/posts" TargetMode="External"/><Relationship Id="rId4" Type="http://schemas.openxmlformats.org/officeDocument/2006/relationships/hyperlink" Target="https://www.facebook.com/momoartxdesign/?locale=zh_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tinafinez</cp:lastModifiedBy>
  <cp:revision>2</cp:revision>
  <dcterms:created xsi:type="dcterms:W3CDTF">2026-08-05T03:11:00Z</dcterms:created>
  <dcterms:modified xsi:type="dcterms:W3CDTF">2026-08-05T03:11:00Z</dcterms:modified>
</cp:coreProperties>
</file>